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CE23" w14:textId="75454935" w:rsidR="00957BBE" w:rsidRPr="00957BBE" w:rsidRDefault="00957BBE" w:rsidP="00484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BBE">
        <w:rPr>
          <w:rFonts w:ascii="Times New Roman" w:hAnsi="Times New Roman" w:cs="Times New Roman"/>
          <w:sz w:val="24"/>
          <w:szCs w:val="24"/>
          <w:highlight w:val="yellow"/>
        </w:rPr>
        <w:t>Insert Agency Letterhead</w:t>
      </w:r>
    </w:p>
    <w:p w14:paraId="541446B9" w14:textId="77777777" w:rsidR="00957BBE" w:rsidRDefault="00957BBE" w:rsidP="00484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59BD4" w14:textId="02DFA61B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>TO:</w:t>
      </w:r>
      <w:r w:rsidRPr="00F8425C">
        <w:rPr>
          <w:rFonts w:ascii="Times New Roman" w:hAnsi="Times New Roman" w:cs="Times New Roman"/>
          <w:sz w:val="24"/>
          <w:szCs w:val="24"/>
        </w:rPr>
        <w:tab/>
      </w:r>
      <w:r w:rsidRPr="00F8425C">
        <w:rPr>
          <w:rFonts w:ascii="Times New Roman" w:hAnsi="Times New Roman" w:cs="Times New Roman"/>
          <w:sz w:val="24"/>
          <w:szCs w:val="24"/>
        </w:rPr>
        <w:tab/>
      </w:r>
      <w:r w:rsidR="00341854">
        <w:rPr>
          <w:rFonts w:ascii="Times New Roman" w:hAnsi="Times New Roman" w:cs="Times New Roman"/>
          <w:sz w:val="24"/>
          <w:szCs w:val="24"/>
        </w:rPr>
        <w:t>Janelle White</w:t>
      </w:r>
      <w:r w:rsidRPr="00F8425C">
        <w:rPr>
          <w:rFonts w:ascii="Times New Roman" w:hAnsi="Times New Roman" w:cs="Times New Roman"/>
          <w:sz w:val="24"/>
          <w:szCs w:val="24"/>
        </w:rPr>
        <w:t>, DHR Administrator</w:t>
      </w:r>
      <w:r w:rsidRPr="00F8425C">
        <w:rPr>
          <w:rFonts w:ascii="Times New Roman" w:hAnsi="Times New Roman" w:cs="Times New Roman"/>
          <w:sz w:val="24"/>
          <w:szCs w:val="24"/>
        </w:rPr>
        <w:tab/>
      </w:r>
    </w:p>
    <w:p w14:paraId="66AB571B" w14:textId="13A202E5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ab/>
      </w:r>
      <w:r w:rsidRPr="00F8425C">
        <w:rPr>
          <w:rFonts w:ascii="Times New Roman" w:hAnsi="Times New Roman" w:cs="Times New Roman"/>
          <w:sz w:val="24"/>
          <w:szCs w:val="24"/>
        </w:rPr>
        <w:tab/>
        <w:t>Alex Adams, DFM Administrator</w:t>
      </w:r>
    </w:p>
    <w:p w14:paraId="4955CFAD" w14:textId="7C0CFA6F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06552" w14:textId="1C16B9C1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>FROM:</w:t>
      </w:r>
      <w:r w:rsidRPr="00F8425C">
        <w:rPr>
          <w:rFonts w:ascii="Times New Roman" w:hAnsi="Times New Roman" w:cs="Times New Roman"/>
          <w:sz w:val="24"/>
          <w:szCs w:val="24"/>
        </w:rPr>
        <w:tab/>
        <w:t>Agency Head, Title</w:t>
      </w:r>
    </w:p>
    <w:p w14:paraId="74ACEADA" w14:textId="2EE0D8DC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C4F29" w14:textId="636388EB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>DATE:</w:t>
      </w:r>
      <w:r w:rsidRPr="00F8425C">
        <w:rPr>
          <w:rFonts w:ascii="Times New Roman" w:hAnsi="Times New Roman" w:cs="Times New Roman"/>
          <w:sz w:val="24"/>
          <w:szCs w:val="24"/>
        </w:rPr>
        <w:tab/>
      </w:r>
      <w:r w:rsidRPr="00F8425C">
        <w:rPr>
          <w:rFonts w:ascii="Times New Roman" w:hAnsi="Times New Roman" w:cs="Times New Roman"/>
          <w:sz w:val="24"/>
          <w:szCs w:val="24"/>
        </w:rPr>
        <w:tab/>
        <w:t>[</w:t>
      </w:r>
      <w:r w:rsidRPr="006E7934">
        <w:rPr>
          <w:rFonts w:ascii="Times New Roman" w:hAnsi="Times New Roman" w:cs="Times New Roman"/>
          <w:sz w:val="24"/>
          <w:szCs w:val="24"/>
          <w:highlight w:val="yellow"/>
        </w:rPr>
        <w:t>insert date</w:t>
      </w:r>
      <w:r w:rsidRPr="00F8425C">
        <w:rPr>
          <w:rFonts w:ascii="Times New Roman" w:hAnsi="Times New Roman" w:cs="Times New Roman"/>
          <w:sz w:val="24"/>
          <w:szCs w:val="24"/>
        </w:rPr>
        <w:t>]</w:t>
      </w:r>
    </w:p>
    <w:p w14:paraId="7C889275" w14:textId="1E6792B5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3FB81" w14:textId="4EE5AD65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>SUBJECT:</w:t>
      </w:r>
      <w:r w:rsidRPr="00F8425C">
        <w:rPr>
          <w:rFonts w:ascii="Times New Roman" w:hAnsi="Times New Roman" w:cs="Times New Roman"/>
          <w:sz w:val="24"/>
          <w:szCs w:val="24"/>
        </w:rPr>
        <w:tab/>
        <w:t>FY 202</w:t>
      </w:r>
      <w:r w:rsidR="00341854">
        <w:rPr>
          <w:rFonts w:ascii="Times New Roman" w:hAnsi="Times New Roman" w:cs="Times New Roman"/>
          <w:sz w:val="24"/>
          <w:szCs w:val="24"/>
        </w:rPr>
        <w:t>5</w:t>
      </w:r>
      <w:r w:rsidRPr="00F8425C">
        <w:rPr>
          <w:rFonts w:ascii="Times New Roman" w:hAnsi="Times New Roman" w:cs="Times New Roman"/>
          <w:sz w:val="24"/>
          <w:szCs w:val="24"/>
        </w:rPr>
        <w:t xml:space="preserve"> Change in Employee Compensation (CEC) Proposal</w:t>
      </w:r>
    </w:p>
    <w:p w14:paraId="3FC96E63" w14:textId="2D9CB58A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D4659" w14:textId="2493F9F6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 xml:space="preserve">In accordance with the Legislature’s approval to </w:t>
      </w:r>
      <w:r w:rsidR="00074003" w:rsidRPr="00F8425C">
        <w:rPr>
          <w:rFonts w:ascii="Times New Roman" w:hAnsi="Times New Roman" w:cs="Times New Roman"/>
          <w:sz w:val="24"/>
          <w:szCs w:val="24"/>
        </w:rPr>
        <w:t xml:space="preserve">provide a </w:t>
      </w:r>
      <w:r w:rsidR="00341854">
        <w:rPr>
          <w:rFonts w:ascii="Times New Roman" w:hAnsi="Times New Roman" w:cs="Times New Roman"/>
          <w:sz w:val="24"/>
          <w:szCs w:val="24"/>
        </w:rPr>
        <w:t>1%</w:t>
      </w:r>
      <w:r w:rsidR="00074003" w:rsidRPr="00F8425C">
        <w:rPr>
          <w:rFonts w:ascii="Times New Roman" w:hAnsi="Times New Roman" w:cs="Times New Roman"/>
          <w:sz w:val="24"/>
          <w:szCs w:val="24"/>
        </w:rPr>
        <w:t xml:space="preserve"> </w:t>
      </w:r>
      <w:r w:rsidR="00341854">
        <w:rPr>
          <w:rFonts w:ascii="Times New Roman" w:hAnsi="Times New Roman" w:cs="Times New Roman"/>
          <w:sz w:val="24"/>
          <w:szCs w:val="24"/>
        </w:rPr>
        <w:t>annual salary</w:t>
      </w:r>
      <w:r w:rsidR="00074003" w:rsidRPr="00F8425C">
        <w:rPr>
          <w:rFonts w:ascii="Times New Roman" w:hAnsi="Times New Roman" w:cs="Times New Roman"/>
          <w:sz w:val="24"/>
          <w:szCs w:val="24"/>
        </w:rPr>
        <w:t xml:space="preserve"> increase for each permanent employee, </w:t>
      </w:r>
      <w:r w:rsidR="00341854">
        <w:rPr>
          <w:rFonts w:ascii="Times New Roman" w:hAnsi="Times New Roman" w:cs="Times New Roman"/>
          <w:sz w:val="24"/>
          <w:szCs w:val="24"/>
        </w:rPr>
        <w:t xml:space="preserve">and </w:t>
      </w:r>
      <w:r w:rsidR="00366F3A">
        <w:rPr>
          <w:rFonts w:ascii="Times New Roman" w:hAnsi="Times New Roman" w:cs="Times New Roman"/>
          <w:sz w:val="24"/>
          <w:szCs w:val="24"/>
        </w:rPr>
        <w:t>an</w:t>
      </w:r>
      <w:r w:rsidR="009B527C">
        <w:rPr>
          <w:rFonts w:ascii="Times New Roman" w:hAnsi="Times New Roman" w:cs="Times New Roman"/>
          <w:sz w:val="24"/>
          <w:szCs w:val="24"/>
        </w:rPr>
        <w:t xml:space="preserve"> additional</w:t>
      </w:r>
      <w:r w:rsidR="00366F3A">
        <w:rPr>
          <w:rFonts w:ascii="Times New Roman" w:hAnsi="Times New Roman" w:cs="Times New Roman"/>
          <w:sz w:val="24"/>
          <w:szCs w:val="24"/>
        </w:rPr>
        <w:t xml:space="preserve"> </w:t>
      </w:r>
      <w:r w:rsidR="00341854">
        <w:rPr>
          <w:rFonts w:ascii="Times New Roman" w:hAnsi="Times New Roman" w:cs="Times New Roman"/>
          <w:sz w:val="24"/>
          <w:szCs w:val="24"/>
        </w:rPr>
        <w:t xml:space="preserve">appropriated 2% </w:t>
      </w:r>
      <w:r w:rsidR="00074003" w:rsidRPr="00F8425C">
        <w:rPr>
          <w:rFonts w:ascii="Times New Roman" w:hAnsi="Times New Roman" w:cs="Times New Roman"/>
          <w:sz w:val="24"/>
          <w:szCs w:val="24"/>
        </w:rPr>
        <w:t>to be distributed based on merit</w:t>
      </w:r>
      <w:r w:rsidR="00366F3A">
        <w:rPr>
          <w:rFonts w:ascii="Times New Roman" w:hAnsi="Times New Roman" w:cs="Times New Roman"/>
          <w:sz w:val="24"/>
          <w:szCs w:val="24"/>
        </w:rPr>
        <w:t>,</w:t>
      </w:r>
      <w:r w:rsidR="00074003" w:rsidRPr="00F8425C">
        <w:rPr>
          <w:rFonts w:ascii="Times New Roman" w:hAnsi="Times New Roman" w:cs="Times New Roman"/>
          <w:sz w:val="24"/>
          <w:szCs w:val="24"/>
        </w:rPr>
        <w:t xml:space="preserve"> as determined by agency directors</w:t>
      </w:r>
      <w:r w:rsidRPr="00F8425C">
        <w:rPr>
          <w:rFonts w:ascii="Times New Roman" w:hAnsi="Times New Roman" w:cs="Times New Roman"/>
          <w:sz w:val="24"/>
          <w:szCs w:val="24"/>
        </w:rPr>
        <w:t xml:space="preserve">, </w:t>
      </w:r>
      <w:r w:rsidR="00302DAE" w:rsidRPr="00F8425C">
        <w:rPr>
          <w:rFonts w:ascii="Times New Roman" w:hAnsi="Times New Roman" w:cs="Times New Roman"/>
          <w:sz w:val="24"/>
          <w:szCs w:val="24"/>
        </w:rPr>
        <w:t>[</w:t>
      </w:r>
      <w:r w:rsidRPr="005A020F">
        <w:rPr>
          <w:rFonts w:ascii="Times New Roman" w:hAnsi="Times New Roman" w:cs="Times New Roman"/>
          <w:sz w:val="24"/>
          <w:szCs w:val="24"/>
          <w:highlight w:val="yellow"/>
        </w:rPr>
        <w:t>Agency</w:t>
      </w:r>
      <w:r w:rsidR="00302DAE" w:rsidRPr="00F8425C">
        <w:rPr>
          <w:rFonts w:ascii="Times New Roman" w:hAnsi="Times New Roman" w:cs="Times New Roman"/>
          <w:sz w:val="24"/>
          <w:szCs w:val="24"/>
        </w:rPr>
        <w:t>]</w:t>
      </w:r>
      <w:r w:rsidRPr="00F8425C">
        <w:rPr>
          <w:rFonts w:ascii="Times New Roman" w:hAnsi="Times New Roman" w:cs="Times New Roman"/>
          <w:sz w:val="24"/>
          <w:szCs w:val="24"/>
        </w:rPr>
        <w:t xml:space="preserve"> formally requests review and approval of our proposed plan to distribute these funds within the parameters outlined by DHR and DFM.</w:t>
      </w:r>
    </w:p>
    <w:p w14:paraId="3954D43E" w14:textId="065F21D9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08322" w14:textId="50B0347F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425C">
        <w:rPr>
          <w:rFonts w:ascii="Times New Roman" w:hAnsi="Times New Roman" w:cs="Times New Roman"/>
          <w:b/>
          <w:bCs/>
          <w:sz w:val="24"/>
          <w:szCs w:val="24"/>
          <w:u w:val="single"/>
        </w:rPr>
        <w:t>Compensation Policy</w:t>
      </w:r>
    </w:p>
    <w:p w14:paraId="12DAC109" w14:textId="6D2C2206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224361" w14:textId="4AF96473" w:rsidR="00484C0C" w:rsidRDefault="00CF4532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[</w:t>
      </w:r>
      <w:r w:rsidRPr="005A020F">
        <w:rPr>
          <w:rFonts w:ascii="Times New Roman" w:hAnsi="Times New Roman" w:cs="Times New Roman"/>
          <w:sz w:val="24"/>
          <w:szCs w:val="24"/>
          <w:highlight w:val="yellow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] Compensation Policy is attached and </w:t>
      </w:r>
      <w:r w:rsidR="00484C0C" w:rsidRPr="00F8425C">
        <w:rPr>
          <w:rFonts w:ascii="Times New Roman" w:hAnsi="Times New Roman" w:cs="Times New Roman"/>
          <w:sz w:val="24"/>
          <w:szCs w:val="24"/>
        </w:rPr>
        <w:t>align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4C0C" w:rsidRPr="00F8425C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484C0C" w:rsidRPr="00F8425C">
        <w:rPr>
          <w:rFonts w:ascii="Times New Roman" w:hAnsi="Times New Roman" w:cs="Times New Roman"/>
          <w:sz w:val="24"/>
          <w:szCs w:val="24"/>
        </w:rPr>
        <w:t xml:space="preserve"> statewide DHR policy.</w:t>
      </w:r>
      <w:r w:rsidR="002135F9">
        <w:rPr>
          <w:rFonts w:ascii="Times New Roman" w:hAnsi="Times New Roman" w:cs="Times New Roman"/>
          <w:sz w:val="24"/>
          <w:szCs w:val="24"/>
        </w:rPr>
        <w:br/>
      </w:r>
    </w:p>
    <w:p w14:paraId="5C05F649" w14:textId="5C8F65F2" w:rsidR="00CF4532" w:rsidRPr="00BE39B7" w:rsidRDefault="00CF4532" w:rsidP="00484C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39B7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2135F9" w:rsidRPr="00BE39B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3D295B2F" w14:textId="4D698ABD" w:rsidR="00CF4532" w:rsidRPr="00F8425C" w:rsidRDefault="00CF4532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[</w:t>
      </w:r>
      <w:r w:rsidRPr="005A020F">
        <w:rPr>
          <w:rFonts w:ascii="Times New Roman" w:hAnsi="Times New Roman" w:cs="Times New Roman"/>
          <w:sz w:val="24"/>
          <w:szCs w:val="24"/>
          <w:highlight w:val="yellow"/>
        </w:rPr>
        <w:t>AGENCY</w:t>
      </w:r>
      <w:r>
        <w:rPr>
          <w:rFonts w:ascii="Times New Roman" w:hAnsi="Times New Roman" w:cs="Times New Roman"/>
          <w:sz w:val="24"/>
          <w:szCs w:val="24"/>
        </w:rPr>
        <w:t>] adopts and adheres to the statewide Compensation Policy.</w:t>
      </w:r>
    </w:p>
    <w:p w14:paraId="761DE105" w14:textId="77777777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E26E2" w14:textId="632FC5C5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425C">
        <w:rPr>
          <w:rFonts w:ascii="Times New Roman" w:hAnsi="Times New Roman" w:cs="Times New Roman"/>
          <w:b/>
          <w:bCs/>
          <w:sz w:val="24"/>
          <w:szCs w:val="24"/>
          <w:u w:val="single"/>
        </w:rPr>
        <w:t>Effective Date of Implementation</w:t>
      </w:r>
    </w:p>
    <w:p w14:paraId="306ED60F" w14:textId="1FDE85C4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E62DB" w14:textId="4212FBA0" w:rsidR="00484C0C" w:rsidRDefault="002135F9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effective date </w:t>
      </w:r>
      <w:r w:rsidR="00BE39B7">
        <w:rPr>
          <w:rFonts w:ascii="Times New Roman" w:hAnsi="Times New Roman" w:cs="Times New Roman"/>
          <w:sz w:val="24"/>
          <w:szCs w:val="24"/>
        </w:rPr>
        <w:t xml:space="preserve">of this distribution plan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341854">
        <w:rPr>
          <w:rFonts w:ascii="Times New Roman" w:hAnsi="Times New Roman" w:cs="Times New Roman"/>
          <w:sz w:val="24"/>
          <w:szCs w:val="24"/>
        </w:rPr>
        <w:t xml:space="preserve">June 9, </w:t>
      </w:r>
      <w:r w:rsidR="003C37D9">
        <w:rPr>
          <w:rFonts w:ascii="Times New Roman" w:hAnsi="Times New Roman" w:cs="Times New Roman"/>
          <w:sz w:val="24"/>
          <w:szCs w:val="24"/>
        </w:rPr>
        <w:t>202</w:t>
      </w:r>
      <w:r w:rsidR="00366F3A">
        <w:rPr>
          <w:rFonts w:ascii="Times New Roman" w:hAnsi="Times New Roman" w:cs="Times New Roman"/>
          <w:sz w:val="24"/>
          <w:szCs w:val="24"/>
        </w:rPr>
        <w:t>4</w:t>
      </w:r>
      <w:r w:rsidR="00BE39B7">
        <w:rPr>
          <w:rFonts w:ascii="Times New Roman" w:hAnsi="Times New Roman" w:cs="Times New Roman"/>
          <w:sz w:val="24"/>
          <w:szCs w:val="24"/>
        </w:rPr>
        <w:t>,</w:t>
      </w:r>
      <w:r w:rsidR="00341854">
        <w:rPr>
          <w:rFonts w:ascii="Times New Roman" w:hAnsi="Times New Roman" w:cs="Times New Roman"/>
          <w:sz w:val="24"/>
          <w:szCs w:val="24"/>
        </w:rPr>
        <w:t xml:space="preserve"> to be paid on </w:t>
      </w:r>
      <w:r w:rsidR="009B527C">
        <w:rPr>
          <w:rFonts w:ascii="Times New Roman" w:hAnsi="Times New Roman" w:cs="Times New Roman"/>
          <w:sz w:val="24"/>
          <w:szCs w:val="24"/>
        </w:rPr>
        <w:t xml:space="preserve">the </w:t>
      </w:r>
      <w:r w:rsidR="00341854">
        <w:rPr>
          <w:rFonts w:ascii="Times New Roman" w:hAnsi="Times New Roman" w:cs="Times New Roman"/>
          <w:sz w:val="24"/>
          <w:szCs w:val="24"/>
        </w:rPr>
        <w:t xml:space="preserve">July 5, </w:t>
      </w:r>
      <w:r w:rsidR="008A1CBA">
        <w:rPr>
          <w:rFonts w:ascii="Times New Roman" w:hAnsi="Times New Roman" w:cs="Times New Roman"/>
          <w:sz w:val="24"/>
          <w:szCs w:val="24"/>
        </w:rPr>
        <w:t>2024,</w:t>
      </w:r>
      <w:r w:rsidR="00341854">
        <w:rPr>
          <w:rFonts w:ascii="Times New Roman" w:hAnsi="Times New Roman" w:cs="Times New Roman"/>
          <w:sz w:val="24"/>
          <w:szCs w:val="24"/>
        </w:rPr>
        <w:t xml:space="preserve"> pay</w:t>
      </w:r>
      <w:r w:rsidR="009B527C">
        <w:rPr>
          <w:rFonts w:ascii="Times New Roman" w:hAnsi="Times New Roman" w:cs="Times New Roman"/>
          <w:sz w:val="24"/>
          <w:szCs w:val="24"/>
        </w:rPr>
        <w:t xml:space="preserve"> date</w:t>
      </w:r>
      <w:r w:rsidR="00341854">
        <w:rPr>
          <w:rFonts w:ascii="Times New Roman" w:hAnsi="Times New Roman" w:cs="Times New Roman"/>
          <w:sz w:val="24"/>
          <w:szCs w:val="24"/>
        </w:rPr>
        <w:t>.</w:t>
      </w:r>
    </w:p>
    <w:p w14:paraId="7CBC8905" w14:textId="77777777" w:rsidR="00CF4532" w:rsidRDefault="00CF4532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234B6" w14:textId="1D252151" w:rsidR="00484C0C" w:rsidRPr="00F8425C" w:rsidRDefault="00366F3A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FY </w:t>
      </w:r>
      <w:r w:rsidR="003C37D9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F25C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E02F6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418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% </w:t>
      </w:r>
      <w:r w:rsidR="00074003" w:rsidRPr="00F8425C">
        <w:rPr>
          <w:rFonts w:ascii="Times New Roman" w:hAnsi="Times New Roman" w:cs="Times New Roman"/>
          <w:b/>
          <w:bCs/>
          <w:sz w:val="24"/>
          <w:szCs w:val="24"/>
          <w:u w:val="single"/>
        </w:rPr>
        <w:t>Increase</w:t>
      </w:r>
      <w:r w:rsidR="00E02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Permanent Employees</w:t>
      </w:r>
      <w:r w:rsidR="00484C0C" w:rsidRPr="00F842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82D2D26" w14:textId="042DF48C" w:rsidR="00484C0C" w:rsidRPr="00F8425C" w:rsidRDefault="00484C0C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DD349" w14:textId="17F9EF08" w:rsidR="00E02F6E" w:rsidRDefault="0011208C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permanent employees </w:t>
      </w:r>
      <w:r w:rsidR="008A1CBA">
        <w:rPr>
          <w:rFonts w:ascii="Times New Roman" w:hAnsi="Times New Roman" w:cs="Times New Roman"/>
          <w:sz w:val="24"/>
          <w:szCs w:val="24"/>
        </w:rPr>
        <w:t xml:space="preserve">hired before the pay period beginning on April 14, </w:t>
      </w:r>
      <w:r w:rsidR="005A020F">
        <w:rPr>
          <w:rFonts w:ascii="Times New Roman" w:hAnsi="Times New Roman" w:cs="Times New Roman"/>
          <w:sz w:val="24"/>
          <w:szCs w:val="24"/>
        </w:rPr>
        <w:t>2024,</w:t>
      </w:r>
      <w:r w:rsidR="008A1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receive a 1% increase. Performance will not be a factor in these increases and all permanent</w:t>
      </w:r>
      <w:r w:rsidR="00094C0C">
        <w:rPr>
          <w:rFonts w:ascii="Times New Roman" w:hAnsi="Times New Roman" w:cs="Times New Roman"/>
          <w:sz w:val="24"/>
          <w:szCs w:val="24"/>
        </w:rPr>
        <w:t xml:space="preserve"> [</w:t>
      </w:r>
      <w:r w:rsidR="00094C0C" w:rsidRPr="005A020F">
        <w:rPr>
          <w:rFonts w:ascii="Times New Roman" w:hAnsi="Times New Roman" w:cs="Times New Roman"/>
          <w:sz w:val="24"/>
          <w:szCs w:val="24"/>
          <w:highlight w:val="yellow"/>
        </w:rPr>
        <w:t>AGENCY</w:t>
      </w:r>
      <w:r w:rsidR="00094C0C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employees will be eligible regardless of their probationary status. </w:t>
      </w:r>
    </w:p>
    <w:p w14:paraId="51776A66" w14:textId="77777777" w:rsidR="00E02F6E" w:rsidRDefault="00E02F6E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56510" w14:textId="7248D701" w:rsidR="00E02F6E" w:rsidRPr="00F8425C" w:rsidRDefault="00E02F6E" w:rsidP="00E02F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FY 2025 – 2% Merit-Based </w:t>
      </w:r>
      <w:r w:rsidRPr="00F842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Increase </w:t>
      </w:r>
    </w:p>
    <w:p w14:paraId="7FB105D0" w14:textId="22FB72FE" w:rsidR="009E53F2" w:rsidRDefault="009E53F2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F5A23" w14:textId="618D38BF" w:rsidR="004C6FDD" w:rsidRDefault="005A020F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classified and nonclassified permanent employees hired before the pay period beginning on April 14, 2024, will receive a 2% merit-based increase. </w:t>
      </w:r>
      <w:r w:rsidR="004C6FDD">
        <w:rPr>
          <w:rFonts w:ascii="Times New Roman" w:hAnsi="Times New Roman" w:cs="Times New Roman"/>
          <w:sz w:val="24"/>
          <w:szCs w:val="24"/>
        </w:rPr>
        <w:t>Nonclassified employees have been assigned a pay grade based on the equivalent classified position and its pay grade, the respective policy rate, and performance rating.</w:t>
      </w:r>
    </w:p>
    <w:p w14:paraId="226EEF43" w14:textId="77777777" w:rsidR="0011208C" w:rsidRDefault="0011208C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CDA41" w14:textId="614D890F" w:rsidR="0011208C" w:rsidRPr="007F32B7" w:rsidRDefault="0011208C" w:rsidP="008316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32B7">
        <w:rPr>
          <w:rFonts w:ascii="Times New Roman" w:hAnsi="Times New Roman" w:cs="Times New Roman"/>
          <w:i/>
          <w:iCs/>
          <w:sz w:val="24"/>
          <w:szCs w:val="24"/>
        </w:rPr>
        <w:t>OR</w:t>
      </w:r>
    </w:p>
    <w:p w14:paraId="75EEA479" w14:textId="0A5D96E4" w:rsidR="00D755B3" w:rsidRPr="00D755B3" w:rsidRDefault="004800AA" w:rsidP="00D7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755B3">
        <w:rPr>
          <w:rFonts w:ascii="Times New Roman" w:hAnsi="Times New Roman" w:cs="Times New Roman"/>
          <w:sz w:val="24"/>
          <w:szCs w:val="24"/>
        </w:rPr>
        <w:t xml:space="preserve">This distribution plan will be used to implement ongoing performance-based merit increases for </w:t>
      </w:r>
      <w:r w:rsidR="00D755B3">
        <w:rPr>
          <w:rFonts w:ascii="Times New Roman" w:hAnsi="Times New Roman" w:cs="Times New Roman"/>
          <w:sz w:val="24"/>
          <w:szCs w:val="24"/>
        </w:rPr>
        <w:lastRenderedPageBreak/>
        <w:t>eligible employees. Per the agency’s additional appropriation for [</w:t>
      </w:r>
      <w:r w:rsidR="00D755B3">
        <w:rPr>
          <w:rFonts w:ascii="Times New Roman" w:hAnsi="Times New Roman" w:cs="Times New Roman"/>
          <w:i/>
          <w:iCs/>
          <w:sz w:val="24"/>
          <w:szCs w:val="24"/>
        </w:rPr>
        <w:t>other employees such as temps</w:t>
      </w:r>
      <w:r w:rsidR="00D755B3">
        <w:rPr>
          <w:rFonts w:ascii="Times New Roman" w:hAnsi="Times New Roman" w:cs="Times New Roman"/>
          <w:sz w:val="24"/>
          <w:szCs w:val="24"/>
        </w:rPr>
        <w:t>]</w:t>
      </w:r>
      <w:r w:rsidR="00051968">
        <w:rPr>
          <w:rFonts w:ascii="Times New Roman" w:hAnsi="Times New Roman" w:cs="Times New Roman"/>
          <w:sz w:val="24"/>
          <w:szCs w:val="24"/>
        </w:rPr>
        <w:t>, these employees are included in the matrix and meet the eligibility criteria.</w:t>
      </w:r>
      <w:r w:rsidR="00D75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2D65B" w14:textId="77777777" w:rsidR="004C6FDD" w:rsidRDefault="004C6FDD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3BEAF" w14:textId="5706236E" w:rsidR="007369E6" w:rsidRPr="004C6FDD" w:rsidRDefault="007369E6" w:rsidP="007369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Director’s Increase</w:t>
      </w:r>
    </w:p>
    <w:p w14:paraId="75F706AE" w14:textId="77777777" w:rsidR="007369E6" w:rsidRDefault="007369E6" w:rsidP="00736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C14FC" w14:textId="01E3F18D" w:rsidR="007369E6" w:rsidRDefault="00AF7CEE" w:rsidP="00736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salary increase for the [</w:t>
      </w:r>
      <w:r w:rsidRPr="006E7934">
        <w:rPr>
          <w:rFonts w:ascii="Times New Roman" w:hAnsi="Times New Roman" w:cs="Times New Roman"/>
          <w:sz w:val="24"/>
          <w:szCs w:val="24"/>
          <w:highlight w:val="yellow"/>
        </w:rPr>
        <w:t>AGENCY</w:t>
      </w:r>
      <w:r>
        <w:rPr>
          <w:rFonts w:ascii="Times New Roman" w:hAnsi="Times New Roman" w:cs="Times New Roman"/>
          <w:sz w:val="24"/>
          <w:szCs w:val="24"/>
        </w:rPr>
        <w:t>] Director will be determined by the Governor. For budgetary purposes, we have estimated a 3% increase for the Director.</w:t>
      </w:r>
    </w:p>
    <w:p w14:paraId="20D5C719" w14:textId="77777777" w:rsidR="007369E6" w:rsidRPr="00F8425C" w:rsidRDefault="007369E6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24E1C" w14:textId="0EB1FE43" w:rsidR="00470794" w:rsidRDefault="00470794" w:rsidP="000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Eligibility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6EE2B" w14:textId="77777777" w:rsidR="00470794" w:rsidRDefault="00470794" w:rsidP="000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13AB1" w14:textId="7DBE3B19" w:rsidR="000E7CE8" w:rsidRPr="00D755B3" w:rsidRDefault="000E7CE8" w:rsidP="00D755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B3">
        <w:rPr>
          <w:rFonts w:ascii="Times New Roman" w:hAnsi="Times New Roman" w:cs="Times New Roman"/>
          <w:sz w:val="24"/>
          <w:szCs w:val="24"/>
        </w:rPr>
        <w:t>Employees who meet the following criteria are eligible for the 2% merit-based increase of [</w:t>
      </w:r>
      <w:r w:rsidRPr="006E7934">
        <w:rPr>
          <w:rFonts w:ascii="Times New Roman" w:hAnsi="Times New Roman" w:cs="Times New Roman"/>
          <w:sz w:val="24"/>
          <w:szCs w:val="24"/>
          <w:highlight w:val="yellow"/>
        </w:rPr>
        <w:t>AGENCY</w:t>
      </w:r>
      <w:r w:rsidRPr="00D755B3">
        <w:rPr>
          <w:rFonts w:ascii="Times New Roman" w:hAnsi="Times New Roman" w:cs="Times New Roman"/>
          <w:sz w:val="24"/>
          <w:szCs w:val="24"/>
        </w:rPr>
        <w:t>]’s 2025 CEC distribution plan</w:t>
      </w:r>
      <w:r w:rsidR="007C0625" w:rsidRPr="00D755B3">
        <w:rPr>
          <w:rFonts w:ascii="Times New Roman" w:hAnsi="Times New Roman" w:cs="Times New Roman"/>
          <w:sz w:val="24"/>
          <w:szCs w:val="24"/>
        </w:rPr>
        <w:t>,</w:t>
      </w:r>
      <w:r w:rsidRPr="00D755B3">
        <w:rPr>
          <w:rFonts w:ascii="Times New Roman" w:hAnsi="Times New Roman" w:cs="Times New Roman"/>
          <w:sz w:val="24"/>
          <w:szCs w:val="24"/>
        </w:rPr>
        <w:t xml:space="preserve"> up to the maximum of their pay grade:</w:t>
      </w:r>
    </w:p>
    <w:p w14:paraId="0B4C53CA" w14:textId="216CDFF0" w:rsidR="000E7CE8" w:rsidRDefault="000E7CE8" w:rsidP="000E7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Hired as a permanent (classified or non-classified) employee </w:t>
      </w:r>
      <w:r w:rsidR="008A1CBA">
        <w:rPr>
          <w:rFonts w:ascii="Times New Roman" w:hAnsi="Times New Roman" w:cs="Times New Roman"/>
          <w:sz w:val="24"/>
          <w:szCs w:val="24"/>
        </w:rPr>
        <w:t xml:space="preserve">before the pay period beginning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D755B3">
        <w:rPr>
          <w:rFonts w:ascii="Times New Roman" w:hAnsi="Times New Roman" w:cs="Times New Roman"/>
          <w:sz w:val="24"/>
          <w:szCs w:val="24"/>
        </w:rPr>
        <w:t xml:space="preserve"> April 14,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D39CB" w14:textId="20B6690B" w:rsidR="000E7CE8" w:rsidRDefault="007C0625" w:rsidP="000E7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</w:t>
      </w:r>
      <w:r w:rsidR="000E7CE8">
        <w:rPr>
          <w:rFonts w:ascii="Times New Roman" w:hAnsi="Times New Roman" w:cs="Times New Roman"/>
          <w:sz w:val="24"/>
          <w:szCs w:val="24"/>
        </w:rPr>
        <w:t xml:space="preserve"> performance appraisal rating of “Achieves Performance Standards” (APS) or </w:t>
      </w:r>
      <w:r w:rsidR="0045585D">
        <w:rPr>
          <w:rFonts w:ascii="Times New Roman" w:hAnsi="Times New Roman" w:cs="Times New Roman"/>
          <w:sz w:val="24"/>
          <w:szCs w:val="24"/>
        </w:rPr>
        <w:t xml:space="preserve">higher </w:t>
      </w:r>
      <w:r w:rsidR="000E7CE8">
        <w:rPr>
          <w:rFonts w:ascii="Times New Roman" w:hAnsi="Times New Roman" w:cs="Times New Roman"/>
          <w:sz w:val="24"/>
          <w:szCs w:val="24"/>
        </w:rPr>
        <w:t>that was completed within the past twelve (12) months</w:t>
      </w:r>
      <w:r w:rsidR="0045585D">
        <w:rPr>
          <w:rFonts w:ascii="Times New Roman" w:hAnsi="Times New Roman" w:cs="Times New Roman"/>
          <w:sz w:val="24"/>
          <w:szCs w:val="24"/>
        </w:rPr>
        <w:t xml:space="preserve"> and was not used for the prior CEC</w:t>
      </w:r>
      <w:r w:rsidR="000E7CE8">
        <w:rPr>
          <w:rFonts w:ascii="Times New Roman" w:hAnsi="Times New Roman" w:cs="Times New Roman"/>
          <w:sz w:val="24"/>
          <w:szCs w:val="24"/>
        </w:rPr>
        <w:t>.</w:t>
      </w:r>
    </w:p>
    <w:p w14:paraId="58261B7E" w14:textId="45AA09B4" w:rsidR="000E7CE8" w:rsidRPr="000E7CE8" w:rsidRDefault="0045585D" w:rsidP="003371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7CE8" w:rsidRPr="000E7CE8">
        <w:rPr>
          <w:rFonts w:ascii="Times New Roman" w:hAnsi="Times New Roman" w:cs="Times New Roman"/>
          <w:sz w:val="24"/>
          <w:szCs w:val="24"/>
        </w:rPr>
        <w:t>uccessfully completed the 2024 Cybersecurity Training and Respectful Workplace Training.</w:t>
      </w:r>
    </w:p>
    <w:p w14:paraId="6411A68E" w14:textId="77777777" w:rsidR="000E7CE8" w:rsidRDefault="000E7CE8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3B357" w14:textId="27432844" w:rsidR="000E7CE8" w:rsidRPr="00D755B3" w:rsidRDefault="000E7CE8" w:rsidP="00D755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B3">
        <w:rPr>
          <w:rFonts w:ascii="Times New Roman" w:hAnsi="Times New Roman" w:cs="Times New Roman"/>
          <w:sz w:val="24"/>
          <w:szCs w:val="24"/>
        </w:rPr>
        <w:t xml:space="preserve">Employees on promotional probation are eligible for a CEC increase if all other eligibility criteria are met. </w:t>
      </w:r>
    </w:p>
    <w:p w14:paraId="02C399CF" w14:textId="77777777" w:rsidR="000E7CE8" w:rsidRDefault="000E7CE8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BFD5" w14:textId="60F0541D" w:rsidR="000E7CE8" w:rsidRPr="00D755B3" w:rsidRDefault="000E7CE8" w:rsidP="00D755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B3">
        <w:rPr>
          <w:rFonts w:ascii="Times New Roman" w:hAnsi="Times New Roman" w:cs="Times New Roman"/>
          <w:sz w:val="24"/>
          <w:szCs w:val="24"/>
        </w:rPr>
        <w:t xml:space="preserve">Employees currently on entrance probation as of </w:t>
      </w:r>
      <w:r w:rsidR="0045585D">
        <w:rPr>
          <w:rFonts w:ascii="Times New Roman" w:hAnsi="Times New Roman" w:cs="Times New Roman"/>
          <w:sz w:val="24"/>
          <w:szCs w:val="24"/>
        </w:rPr>
        <w:t>April 14, 2024,</w:t>
      </w:r>
      <w:r w:rsidRPr="00D755B3">
        <w:rPr>
          <w:rFonts w:ascii="Times New Roman" w:hAnsi="Times New Roman" w:cs="Times New Roman"/>
          <w:sz w:val="24"/>
          <w:szCs w:val="24"/>
        </w:rPr>
        <w:t xml:space="preserve"> will be eligible to receive a FY 2025 CEC merit increase upon successful completion of probation with a performance appraisal rating of Achieves Performance Standards (APS) or higher.</w:t>
      </w:r>
    </w:p>
    <w:p w14:paraId="40FABA3A" w14:textId="77777777" w:rsidR="000E7CE8" w:rsidRDefault="000E7CE8" w:rsidP="0083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B5A53" w14:textId="387304E5" w:rsidR="0083160B" w:rsidRDefault="0083160B" w:rsidP="00831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>[Insert Agency Matrix</w:t>
      </w:r>
      <w:r w:rsidR="00511843">
        <w:rPr>
          <w:rFonts w:ascii="Times New Roman" w:hAnsi="Times New Roman" w:cs="Times New Roman"/>
          <w:sz w:val="24"/>
          <w:szCs w:val="24"/>
        </w:rPr>
        <w:t xml:space="preserve"> – below is a sample</w:t>
      </w:r>
      <w:r w:rsidR="00AF7CEE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E7578C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185"/>
        <w:gridCol w:w="2068"/>
        <w:gridCol w:w="1123"/>
        <w:gridCol w:w="1339"/>
        <w:gridCol w:w="1516"/>
        <w:gridCol w:w="1939"/>
      </w:tblGrid>
      <w:tr w:rsidR="00FD35F6" w14:paraId="72E9614B" w14:textId="7D9BCDB9" w:rsidTr="00FD35F6">
        <w:tc>
          <w:tcPr>
            <w:tcW w:w="2185" w:type="dxa"/>
            <w:shd w:val="clear" w:color="auto" w:fill="D5DCE4" w:themeFill="text2" w:themeFillTint="33"/>
          </w:tcPr>
          <w:p w14:paraId="442C9ACE" w14:textId="4EB7DB96" w:rsidR="00FD35F6" w:rsidRPr="00FD35F6" w:rsidRDefault="00FD35F6" w:rsidP="00FD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Compa-Ratio</w:t>
            </w:r>
          </w:p>
        </w:tc>
        <w:tc>
          <w:tcPr>
            <w:tcW w:w="2068" w:type="dxa"/>
            <w:shd w:val="clear" w:color="auto" w:fill="D5DCE4" w:themeFill="text2" w:themeFillTint="33"/>
          </w:tcPr>
          <w:p w14:paraId="7E3BA341" w14:textId="0437126C" w:rsidR="00FD35F6" w:rsidRPr="00FD35F6" w:rsidRDefault="00FD35F6" w:rsidP="00FD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Does Not Achieve / Entrance Prob</w:t>
            </w:r>
          </w:p>
        </w:tc>
        <w:tc>
          <w:tcPr>
            <w:tcW w:w="1123" w:type="dxa"/>
            <w:shd w:val="clear" w:color="auto" w:fill="D5DCE4" w:themeFill="text2" w:themeFillTint="33"/>
          </w:tcPr>
          <w:p w14:paraId="50F2ED52" w14:textId="0D27DA6B" w:rsidR="00FD35F6" w:rsidRPr="00FD35F6" w:rsidRDefault="00FD35F6" w:rsidP="00FD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Achieves</w:t>
            </w:r>
          </w:p>
        </w:tc>
        <w:tc>
          <w:tcPr>
            <w:tcW w:w="1339" w:type="dxa"/>
            <w:shd w:val="clear" w:color="auto" w:fill="D5DCE4" w:themeFill="text2" w:themeFillTint="33"/>
          </w:tcPr>
          <w:p w14:paraId="1287549C" w14:textId="04FFB2FF" w:rsidR="00FD35F6" w:rsidRPr="00FD35F6" w:rsidRDefault="00FD35F6" w:rsidP="00FD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Solid Sustained</w:t>
            </w:r>
          </w:p>
        </w:tc>
        <w:tc>
          <w:tcPr>
            <w:tcW w:w="1516" w:type="dxa"/>
            <w:shd w:val="clear" w:color="auto" w:fill="D5DCE4" w:themeFill="text2" w:themeFillTint="33"/>
          </w:tcPr>
          <w:p w14:paraId="6CC594C6" w14:textId="73F33A9C" w:rsidR="00FD35F6" w:rsidRPr="00FD35F6" w:rsidRDefault="00FD35F6" w:rsidP="00FD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Exemplary</w:t>
            </w:r>
          </w:p>
        </w:tc>
        <w:tc>
          <w:tcPr>
            <w:tcW w:w="1939" w:type="dxa"/>
            <w:shd w:val="clear" w:color="auto" w:fill="D5DCE4" w:themeFill="text2" w:themeFillTint="33"/>
          </w:tcPr>
          <w:p w14:paraId="5D303375" w14:textId="0F25BCFC" w:rsidR="00FD35F6" w:rsidRPr="00FD35F6" w:rsidRDefault="00FD35F6" w:rsidP="00FD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375C2D" w14:paraId="6396E205" w14:textId="1D32F615" w:rsidTr="00375C2D">
        <w:tc>
          <w:tcPr>
            <w:tcW w:w="2185" w:type="dxa"/>
            <w:vMerge w:val="restart"/>
            <w:shd w:val="clear" w:color="auto" w:fill="D5DCE4" w:themeFill="text2" w:themeFillTint="33"/>
          </w:tcPr>
          <w:p w14:paraId="3E3F9DC3" w14:textId="772774FB" w:rsidR="00375C2D" w:rsidRPr="00FD35F6" w:rsidRDefault="00375C2D" w:rsidP="00375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– 150%</w:t>
            </w:r>
          </w:p>
        </w:tc>
        <w:tc>
          <w:tcPr>
            <w:tcW w:w="2068" w:type="dxa"/>
          </w:tcPr>
          <w:p w14:paraId="29942340" w14:textId="32F41076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1123" w:type="dxa"/>
          </w:tcPr>
          <w:p w14:paraId="331906D2" w14:textId="75AA9C2A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339" w:type="dxa"/>
          </w:tcPr>
          <w:p w14:paraId="62278572" w14:textId="06FB3CCC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516" w:type="dxa"/>
          </w:tcPr>
          <w:p w14:paraId="21375A7B" w14:textId="105AD071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939" w:type="dxa"/>
          </w:tcPr>
          <w:p w14:paraId="471750A8" w14:textId="77777777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2D" w14:paraId="493AECD3" w14:textId="647E0C61" w:rsidTr="00375C2D">
        <w:tc>
          <w:tcPr>
            <w:tcW w:w="2185" w:type="dxa"/>
            <w:vMerge/>
            <w:shd w:val="clear" w:color="auto" w:fill="D5DCE4" w:themeFill="text2" w:themeFillTint="33"/>
          </w:tcPr>
          <w:p w14:paraId="2E69C2A4" w14:textId="77777777" w:rsidR="00375C2D" w:rsidRPr="00FD35F6" w:rsidRDefault="00375C2D" w:rsidP="0083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2A5CEBD7" w14:textId="77B4F88E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123" w:type="dxa"/>
          </w:tcPr>
          <w:p w14:paraId="49D05DEA" w14:textId="4FB293D9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339" w:type="dxa"/>
          </w:tcPr>
          <w:p w14:paraId="59AFA66F" w14:textId="63B1CBB1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516" w:type="dxa"/>
          </w:tcPr>
          <w:p w14:paraId="4290D4A7" w14:textId="36E0225D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939" w:type="dxa"/>
          </w:tcPr>
          <w:p w14:paraId="52ADCCCA" w14:textId="1A4B2410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 / X%</w:t>
            </w:r>
          </w:p>
        </w:tc>
      </w:tr>
      <w:tr w:rsidR="00375C2D" w14:paraId="59C64A29" w14:textId="70963C45" w:rsidTr="00375C2D">
        <w:tc>
          <w:tcPr>
            <w:tcW w:w="2185" w:type="dxa"/>
            <w:vMerge w:val="restart"/>
            <w:shd w:val="clear" w:color="auto" w:fill="D5DCE4" w:themeFill="text2" w:themeFillTint="33"/>
          </w:tcPr>
          <w:p w14:paraId="749C328A" w14:textId="68AB79A4" w:rsidR="00375C2D" w:rsidRPr="00FD35F6" w:rsidRDefault="00375C2D" w:rsidP="00375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– 99.99%</w:t>
            </w:r>
          </w:p>
        </w:tc>
        <w:tc>
          <w:tcPr>
            <w:tcW w:w="2068" w:type="dxa"/>
          </w:tcPr>
          <w:p w14:paraId="274BDACF" w14:textId="51BAD15D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1123" w:type="dxa"/>
          </w:tcPr>
          <w:p w14:paraId="241608A6" w14:textId="2D35E135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339" w:type="dxa"/>
          </w:tcPr>
          <w:p w14:paraId="7C568CC9" w14:textId="6F5804FF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516" w:type="dxa"/>
          </w:tcPr>
          <w:p w14:paraId="1F63FBF9" w14:textId="33459B12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939" w:type="dxa"/>
          </w:tcPr>
          <w:p w14:paraId="4E930991" w14:textId="77777777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2D" w14:paraId="77F1D159" w14:textId="79E2EC18" w:rsidTr="00375C2D">
        <w:tc>
          <w:tcPr>
            <w:tcW w:w="2185" w:type="dxa"/>
            <w:vMerge/>
            <w:shd w:val="clear" w:color="auto" w:fill="D5DCE4" w:themeFill="text2" w:themeFillTint="33"/>
          </w:tcPr>
          <w:p w14:paraId="7E4673B4" w14:textId="6150E329" w:rsidR="00375C2D" w:rsidRPr="00FD35F6" w:rsidRDefault="00375C2D" w:rsidP="0083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6FD1AB29" w14:textId="75EC0065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123" w:type="dxa"/>
          </w:tcPr>
          <w:p w14:paraId="59A03DF4" w14:textId="10DEC4C6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339" w:type="dxa"/>
          </w:tcPr>
          <w:p w14:paraId="73758F6E" w14:textId="0A25B588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516" w:type="dxa"/>
          </w:tcPr>
          <w:p w14:paraId="000C6E58" w14:textId="4F931430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939" w:type="dxa"/>
          </w:tcPr>
          <w:p w14:paraId="11884E8E" w14:textId="1E103CAA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 / X%</w:t>
            </w:r>
          </w:p>
        </w:tc>
      </w:tr>
      <w:tr w:rsidR="00375C2D" w14:paraId="0BE96BCF" w14:textId="353A5E8D" w:rsidTr="00375C2D">
        <w:tc>
          <w:tcPr>
            <w:tcW w:w="2185" w:type="dxa"/>
            <w:vMerge w:val="restart"/>
            <w:shd w:val="clear" w:color="auto" w:fill="D5DCE4" w:themeFill="text2" w:themeFillTint="33"/>
          </w:tcPr>
          <w:p w14:paraId="12F94A0F" w14:textId="74DAA59A" w:rsidR="00375C2D" w:rsidRPr="00FD35F6" w:rsidRDefault="00375C2D" w:rsidP="00375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5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89.99%</w:t>
            </w:r>
          </w:p>
        </w:tc>
        <w:tc>
          <w:tcPr>
            <w:tcW w:w="2068" w:type="dxa"/>
          </w:tcPr>
          <w:p w14:paraId="009AD2FB" w14:textId="19CBBD69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1123" w:type="dxa"/>
          </w:tcPr>
          <w:p w14:paraId="4E9C9D22" w14:textId="070D821A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339" w:type="dxa"/>
          </w:tcPr>
          <w:p w14:paraId="6944F2CC" w14:textId="1EC48EE5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516" w:type="dxa"/>
          </w:tcPr>
          <w:p w14:paraId="1523726D" w14:textId="3C25B83D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939" w:type="dxa"/>
          </w:tcPr>
          <w:p w14:paraId="1B4A0D35" w14:textId="77777777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2D" w14:paraId="3B6A2FF5" w14:textId="02E976C2" w:rsidTr="00375C2D">
        <w:tc>
          <w:tcPr>
            <w:tcW w:w="2185" w:type="dxa"/>
            <w:vMerge/>
            <w:tcBorders>
              <w:bottom w:val="single" w:sz="24" w:space="0" w:color="auto"/>
            </w:tcBorders>
            <w:shd w:val="clear" w:color="auto" w:fill="D5DCE4" w:themeFill="text2" w:themeFillTint="33"/>
          </w:tcPr>
          <w:p w14:paraId="14D99E1F" w14:textId="5E1DC803" w:rsidR="00375C2D" w:rsidRPr="00FD35F6" w:rsidRDefault="00375C2D" w:rsidP="0083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24" w:space="0" w:color="auto"/>
            </w:tcBorders>
          </w:tcPr>
          <w:p w14:paraId="7B93CE65" w14:textId="79D8243D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14:paraId="7061EF4D" w14:textId="4D2FAAB5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339" w:type="dxa"/>
            <w:tcBorders>
              <w:bottom w:val="single" w:sz="24" w:space="0" w:color="auto"/>
            </w:tcBorders>
          </w:tcPr>
          <w:p w14:paraId="78264B7D" w14:textId="38B4C63C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516" w:type="dxa"/>
            <w:tcBorders>
              <w:bottom w:val="single" w:sz="24" w:space="0" w:color="auto"/>
            </w:tcBorders>
          </w:tcPr>
          <w:p w14:paraId="702AF79D" w14:textId="587A5D70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939" w:type="dxa"/>
            <w:tcBorders>
              <w:bottom w:val="single" w:sz="24" w:space="0" w:color="auto"/>
            </w:tcBorders>
          </w:tcPr>
          <w:p w14:paraId="517DB569" w14:textId="021F9143" w:rsidR="00375C2D" w:rsidRDefault="00375C2D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 / X%</w:t>
            </w:r>
          </w:p>
        </w:tc>
      </w:tr>
      <w:tr w:rsidR="00FD35F6" w14:paraId="3E4CF530" w14:textId="5EA55B2E" w:rsidTr="00375C2D">
        <w:tc>
          <w:tcPr>
            <w:tcW w:w="2185" w:type="dxa"/>
            <w:tcBorders>
              <w:top w:val="single" w:sz="24" w:space="0" w:color="auto"/>
            </w:tcBorders>
            <w:shd w:val="clear" w:color="auto" w:fill="D5DCE4" w:themeFill="text2" w:themeFillTint="33"/>
          </w:tcPr>
          <w:p w14:paraId="5263535F" w14:textId="3CB1BD0D" w:rsidR="00FD35F6" w:rsidRPr="00FD35F6" w:rsidRDefault="00FD35F6" w:rsidP="0083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% </w:t>
            </w:r>
            <w:r w:rsidR="003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EEs</w:t>
            </w:r>
          </w:p>
        </w:tc>
        <w:tc>
          <w:tcPr>
            <w:tcW w:w="2068" w:type="dxa"/>
            <w:tcBorders>
              <w:top w:val="single" w:sz="24" w:space="0" w:color="auto"/>
            </w:tcBorders>
          </w:tcPr>
          <w:p w14:paraId="478241D9" w14:textId="74535FB0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123" w:type="dxa"/>
            <w:tcBorders>
              <w:top w:val="single" w:sz="24" w:space="0" w:color="auto"/>
            </w:tcBorders>
          </w:tcPr>
          <w:p w14:paraId="6B24EF9B" w14:textId="6A509489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339" w:type="dxa"/>
            <w:tcBorders>
              <w:top w:val="single" w:sz="24" w:space="0" w:color="auto"/>
            </w:tcBorders>
          </w:tcPr>
          <w:p w14:paraId="0308FBFB" w14:textId="305F3C3D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516" w:type="dxa"/>
            <w:tcBorders>
              <w:top w:val="single" w:sz="24" w:space="0" w:color="auto"/>
            </w:tcBorders>
          </w:tcPr>
          <w:p w14:paraId="0AB78A9A" w14:textId="5096BC49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X%</w:t>
            </w:r>
          </w:p>
        </w:tc>
        <w:tc>
          <w:tcPr>
            <w:tcW w:w="1939" w:type="dxa"/>
            <w:tcBorders>
              <w:top w:val="single" w:sz="24" w:space="0" w:color="auto"/>
            </w:tcBorders>
          </w:tcPr>
          <w:p w14:paraId="08A7E2FC" w14:textId="04D765FC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35F6" w14:paraId="2E83E49B" w14:textId="2BBB86E9" w:rsidTr="00375C2D">
        <w:tc>
          <w:tcPr>
            <w:tcW w:w="2185" w:type="dxa"/>
            <w:shd w:val="clear" w:color="auto" w:fill="D5DCE4" w:themeFill="text2" w:themeFillTint="33"/>
          </w:tcPr>
          <w:p w14:paraId="30F632F5" w14:textId="5A12B5C8" w:rsidR="00FD35F6" w:rsidRPr="00FD35F6" w:rsidRDefault="00FD35F6" w:rsidP="0083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# </w:t>
            </w:r>
            <w:r w:rsidR="0037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EEs</w:t>
            </w:r>
          </w:p>
        </w:tc>
        <w:tc>
          <w:tcPr>
            <w:tcW w:w="2068" w:type="dxa"/>
          </w:tcPr>
          <w:p w14:paraId="700D9E5E" w14:textId="536C337E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123" w:type="dxa"/>
          </w:tcPr>
          <w:p w14:paraId="55817349" w14:textId="79005186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339" w:type="dxa"/>
          </w:tcPr>
          <w:p w14:paraId="62308A2A" w14:textId="1C446FFA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516" w:type="dxa"/>
          </w:tcPr>
          <w:p w14:paraId="7B315481" w14:textId="08888BB0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ees</w:t>
            </w:r>
          </w:p>
        </w:tc>
        <w:tc>
          <w:tcPr>
            <w:tcW w:w="1939" w:type="dxa"/>
          </w:tcPr>
          <w:p w14:paraId="5433564F" w14:textId="4A448A18" w:rsidR="00FD35F6" w:rsidRDefault="00FD35F6" w:rsidP="0037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0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40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</w:tbl>
    <w:p w14:paraId="5CFBD1E8" w14:textId="7ED7D0D2" w:rsidR="00B021E5" w:rsidRDefault="00E7578C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794FEABC" w14:textId="77777777" w:rsidR="007B3407" w:rsidRDefault="007B3407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49806" w14:textId="77777777" w:rsidR="004800AA" w:rsidRDefault="004800AA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542E29" w14:textId="7EFA221E" w:rsidR="00CC5E1F" w:rsidRPr="00F8425C" w:rsidRDefault="0083160B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42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FY </w:t>
      </w:r>
      <w:r w:rsidR="003C37D9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Pr="00F842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ayline Shift</w:t>
      </w:r>
    </w:p>
    <w:p w14:paraId="4F981E1D" w14:textId="77777777" w:rsidR="0083160B" w:rsidRDefault="0083160B" w:rsidP="0048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68E0F" w14:textId="79019BBE" w:rsidR="00957BBE" w:rsidRDefault="00041644" w:rsidP="0095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3160B">
        <w:rPr>
          <w:rFonts w:ascii="Times New Roman" w:hAnsi="Times New Roman" w:cs="Times New Roman"/>
          <w:sz w:val="24"/>
          <w:szCs w:val="24"/>
        </w:rPr>
        <w:t xml:space="preserve">mployees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83160B">
        <w:rPr>
          <w:rFonts w:ascii="Times New Roman" w:hAnsi="Times New Roman" w:cs="Times New Roman"/>
          <w:sz w:val="24"/>
          <w:szCs w:val="24"/>
        </w:rPr>
        <w:t xml:space="preserve"> are below </w:t>
      </w:r>
      <w:r w:rsidR="003C37D9">
        <w:rPr>
          <w:rFonts w:ascii="Times New Roman" w:hAnsi="Times New Roman" w:cs="Times New Roman"/>
          <w:sz w:val="24"/>
          <w:szCs w:val="24"/>
        </w:rPr>
        <w:t>the minimum</w:t>
      </w:r>
      <w:r w:rsidR="0083160B">
        <w:rPr>
          <w:rFonts w:ascii="Times New Roman" w:hAnsi="Times New Roman" w:cs="Times New Roman"/>
          <w:sz w:val="24"/>
          <w:szCs w:val="24"/>
        </w:rPr>
        <w:t xml:space="preserve"> of </w:t>
      </w:r>
      <w:r w:rsidR="00F25CA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ir</w:t>
      </w:r>
      <w:r w:rsidR="00F25CAA">
        <w:rPr>
          <w:rFonts w:ascii="Times New Roman" w:hAnsi="Times New Roman" w:cs="Times New Roman"/>
          <w:sz w:val="24"/>
          <w:szCs w:val="24"/>
        </w:rPr>
        <w:t xml:space="preserve"> applicable FY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25CAA">
        <w:rPr>
          <w:rFonts w:ascii="Times New Roman" w:hAnsi="Times New Roman" w:cs="Times New Roman"/>
          <w:sz w:val="24"/>
          <w:szCs w:val="24"/>
        </w:rPr>
        <w:t xml:space="preserve">25 </w:t>
      </w:r>
      <w:r w:rsidR="0083160B">
        <w:rPr>
          <w:rFonts w:ascii="Times New Roman" w:hAnsi="Times New Roman" w:cs="Times New Roman"/>
          <w:sz w:val="24"/>
          <w:szCs w:val="24"/>
        </w:rPr>
        <w:t>pay</w:t>
      </w:r>
      <w:r w:rsidR="003C3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structure, </w:t>
      </w:r>
      <w:r w:rsidR="00F25CAA">
        <w:rPr>
          <w:rFonts w:ascii="Times New Roman" w:hAnsi="Times New Roman" w:cs="Times New Roman"/>
          <w:sz w:val="24"/>
          <w:szCs w:val="24"/>
        </w:rPr>
        <w:t>after full implementation of the 1% and the 2%</w:t>
      </w:r>
      <w:r>
        <w:rPr>
          <w:rFonts w:ascii="Times New Roman" w:hAnsi="Times New Roman" w:cs="Times New Roman"/>
          <w:sz w:val="24"/>
          <w:szCs w:val="24"/>
        </w:rPr>
        <w:t>, will receive an increase to the minimum of their respective pay grade. [</w:t>
      </w:r>
      <w:r w:rsidRPr="006E7934">
        <w:rPr>
          <w:rFonts w:ascii="Times New Roman" w:hAnsi="Times New Roman" w:cs="Times New Roman"/>
          <w:sz w:val="24"/>
          <w:szCs w:val="24"/>
          <w:highlight w:val="yellow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] has </w:t>
      </w:r>
      <w:r w:rsidRPr="006E7934">
        <w:rPr>
          <w:rFonts w:ascii="Times New Roman" w:hAnsi="Times New Roman" w:cs="Times New Roman"/>
          <w:sz w:val="24"/>
          <w:szCs w:val="24"/>
          <w:highlight w:val="yellow"/>
        </w:rPr>
        <w:t>[#]</w:t>
      </w:r>
      <w:r>
        <w:rPr>
          <w:rFonts w:ascii="Times New Roman" w:hAnsi="Times New Roman" w:cs="Times New Roman"/>
          <w:sz w:val="24"/>
          <w:szCs w:val="24"/>
        </w:rPr>
        <w:t xml:space="preserve"> employees affected.</w:t>
      </w:r>
    </w:p>
    <w:p w14:paraId="770D9367" w14:textId="77777777" w:rsidR="00041644" w:rsidRDefault="00041644" w:rsidP="0095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3774C" w14:textId="77777777" w:rsidR="00041644" w:rsidRDefault="00041644" w:rsidP="0095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B9285" w14:textId="2F29F0E8" w:rsidR="00CF4532" w:rsidRDefault="00CF4532" w:rsidP="009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45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Attachments: Budget and Funding </w:t>
      </w:r>
    </w:p>
    <w:p w14:paraId="770BCB1F" w14:textId="77777777" w:rsidR="00CF4532" w:rsidRDefault="00CF453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18B3E3FA" w14:textId="1F940072" w:rsidR="00957BBE" w:rsidRPr="00957BBE" w:rsidRDefault="00E4304F" w:rsidP="00957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B</w:t>
      </w:r>
      <w:r w:rsidR="00957BBE" w:rsidRPr="00957B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udget</w:t>
      </w:r>
    </w:p>
    <w:p w14:paraId="483DB514" w14:textId="77777777" w:rsidR="00957BBE" w:rsidRPr="00957BBE" w:rsidRDefault="00957BBE" w:rsidP="00957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2589025" w14:textId="77777777" w:rsidR="00957BBE" w:rsidRPr="00957BBE" w:rsidRDefault="00957BBE" w:rsidP="009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E">
        <w:rPr>
          <w:rFonts w:ascii="Times New Roman" w:eastAsia="Times New Roman" w:hAnsi="Times New Roman" w:cs="Times New Roman"/>
          <w:sz w:val="24"/>
          <w:szCs w:val="24"/>
          <w:u w:val="single"/>
        </w:rPr>
        <w:t>[</w:t>
      </w:r>
      <w:r w:rsidRPr="006E7934">
        <w:rPr>
          <w:rFonts w:ascii="Times New Roman" w:eastAsia="Times New Roman" w:hAnsi="Times New Roman" w:cs="Times New Roman"/>
          <w:sz w:val="24"/>
          <w:szCs w:val="24"/>
          <w:highlight w:val="yellow"/>
        </w:rPr>
        <w:t>Complete the applicable budget matrices to show how your agency will cover each proposed salary action and the budget impact by fund</w:t>
      </w:r>
      <w:r w:rsidRPr="00957BBE">
        <w:rPr>
          <w:rFonts w:ascii="Times New Roman" w:eastAsia="Times New Roman" w:hAnsi="Times New Roman" w:cs="Times New Roman"/>
          <w:sz w:val="24"/>
          <w:szCs w:val="24"/>
        </w:rPr>
        <w:t>.]</w:t>
      </w:r>
    </w:p>
    <w:p w14:paraId="1A9E80AF" w14:textId="77777777" w:rsidR="00957BBE" w:rsidRPr="00957BBE" w:rsidRDefault="00957BBE" w:rsidP="009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B779E" w14:textId="77777777" w:rsidR="00957BBE" w:rsidRPr="00957BBE" w:rsidRDefault="00957BBE" w:rsidP="009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E">
        <w:rPr>
          <w:rFonts w:ascii="Times New Roman" w:eastAsia="Times New Roman" w:hAnsi="Times New Roman" w:cs="Times New Roman"/>
          <w:sz w:val="24"/>
          <w:szCs w:val="24"/>
        </w:rPr>
        <w:t>The [</w:t>
      </w:r>
      <w:r w:rsidRPr="006E7934">
        <w:rPr>
          <w:rFonts w:ascii="Times New Roman" w:eastAsia="Times New Roman" w:hAnsi="Times New Roman" w:cs="Times New Roman"/>
          <w:sz w:val="24"/>
          <w:szCs w:val="24"/>
          <w:highlight w:val="yellow"/>
        </w:rPr>
        <w:t>Agency</w:t>
      </w:r>
      <w:r w:rsidRPr="00957BBE">
        <w:rPr>
          <w:rFonts w:ascii="Times New Roman" w:eastAsia="Times New Roman" w:hAnsi="Times New Roman" w:cs="Times New Roman"/>
          <w:sz w:val="24"/>
          <w:szCs w:val="24"/>
        </w:rPr>
        <w:t>] plans to fund all components as exhibited in the following tables:</w:t>
      </w:r>
    </w:p>
    <w:p w14:paraId="5538ADE0" w14:textId="77777777" w:rsidR="00957BBE" w:rsidRPr="00957BBE" w:rsidRDefault="00957BBE" w:rsidP="009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446"/>
        <w:gridCol w:w="2446"/>
        <w:gridCol w:w="2446"/>
      </w:tblGrid>
      <w:tr w:rsidR="007C0625" w:rsidRPr="00957BBE" w14:paraId="3CF61645" w14:textId="43EA181C" w:rsidTr="003F20B2">
        <w:trPr>
          <w:trHeight w:val="584"/>
        </w:trPr>
        <w:tc>
          <w:tcPr>
            <w:tcW w:w="2012" w:type="dxa"/>
            <w:shd w:val="clear" w:color="auto" w:fill="auto"/>
            <w:noWrap/>
            <w:hideMark/>
          </w:tcPr>
          <w:p w14:paraId="7A735E96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CEC Plan Components*</w:t>
            </w:r>
          </w:p>
        </w:tc>
        <w:tc>
          <w:tcPr>
            <w:tcW w:w="2446" w:type="dxa"/>
            <w:shd w:val="clear" w:color="auto" w:fill="auto"/>
            <w:vAlign w:val="bottom"/>
            <w:hideMark/>
          </w:tcPr>
          <w:p w14:paraId="2C8C50B9" w14:textId="6590FA8A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FY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2025</w:t>
            </w:r>
            <w:r w:rsidRPr="0095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CEC Appropriation</w:t>
            </w:r>
            <w:r w:rsidR="003B432F" w:rsidRPr="003B4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</w:rPr>
              <w:t>1</w:t>
            </w:r>
            <w:r w:rsidRPr="0095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446" w:type="dxa"/>
            <w:shd w:val="clear" w:color="auto" w:fill="auto"/>
            <w:vAlign w:val="bottom"/>
            <w:hideMark/>
          </w:tcPr>
          <w:p w14:paraId="1E018FCB" w14:textId="42A75F64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Ongoing Salary Savings</w:t>
            </w:r>
            <w:r w:rsidR="003B432F" w:rsidRPr="003B4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2446" w:type="dxa"/>
            <w:vAlign w:val="bottom"/>
          </w:tcPr>
          <w:p w14:paraId="06ABB4CE" w14:textId="5BB78CDB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Cost to Implement</w:t>
            </w:r>
            <w:r w:rsidR="003B432F" w:rsidRPr="003B4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</w:rPr>
              <w:t>3</w:t>
            </w:r>
          </w:p>
        </w:tc>
      </w:tr>
      <w:tr w:rsidR="007C0625" w:rsidRPr="00957BBE" w14:paraId="23DCCCB9" w14:textId="0443F305" w:rsidTr="007C0625">
        <w:trPr>
          <w:trHeight w:val="888"/>
        </w:trPr>
        <w:tc>
          <w:tcPr>
            <w:tcW w:w="2012" w:type="dxa"/>
            <w:shd w:val="clear" w:color="auto" w:fill="auto"/>
            <w:noWrap/>
            <w:hideMark/>
          </w:tcPr>
          <w:p w14:paraId="47C11F65" w14:textId="7CA75E02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1% CEC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14:paraId="284C09AA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14:paraId="081B8C2A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  <w:tc>
          <w:tcPr>
            <w:tcW w:w="2446" w:type="dxa"/>
          </w:tcPr>
          <w:p w14:paraId="3DCEB26D" w14:textId="02EB8C5F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</w:tr>
      <w:tr w:rsidR="007C0625" w:rsidRPr="00957BBE" w14:paraId="4689A58C" w14:textId="3D9FCE7F" w:rsidTr="007C0625">
        <w:trPr>
          <w:trHeight w:val="888"/>
        </w:trPr>
        <w:tc>
          <w:tcPr>
            <w:tcW w:w="2012" w:type="dxa"/>
            <w:shd w:val="clear" w:color="auto" w:fill="auto"/>
            <w:noWrap/>
            <w:hideMark/>
          </w:tcPr>
          <w:p w14:paraId="68A6A827" w14:textId="61562BFD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Merit-based CEC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14:paraId="4495CB5B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14:paraId="41A7342E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  <w:tc>
          <w:tcPr>
            <w:tcW w:w="2446" w:type="dxa"/>
          </w:tcPr>
          <w:p w14:paraId="36C1C23E" w14:textId="2174CFE3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</w:tr>
      <w:tr w:rsidR="007C0625" w:rsidRPr="00957BBE" w14:paraId="56F771CC" w14:textId="424591C6" w:rsidTr="007C0625">
        <w:trPr>
          <w:trHeight w:val="888"/>
        </w:trPr>
        <w:tc>
          <w:tcPr>
            <w:tcW w:w="2012" w:type="dxa"/>
            <w:shd w:val="clear" w:color="auto" w:fill="auto"/>
            <w:noWrap/>
          </w:tcPr>
          <w:p w14:paraId="29A0C7B9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Payline Shifts</w:t>
            </w:r>
          </w:p>
        </w:tc>
        <w:tc>
          <w:tcPr>
            <w:tcW w:w="2446" w:type="dxa"/>
            <w:shd w:val="clear" w:color="auto" w:fill="auto"/>
            <w:noWrap/>
          </w:tcPr>
          <w:p w14:paraId="57FF1877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  <w:tc>
          <w:tcPr>
            <w:tcW w:w="2446" w:type="dxa"/>
            <w:shd w:val="clear" w:color="auto" w:fill="auto"/>
            <w:noWrap/>
          </w:tcPr>
          <w:p w14:paraId="705A6591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  <w:tc>
          <w:tcPr>
            <w:tcW w:w="2446" w:type="dxa"/>
          </w:tcPr>
          <w:p w14:paraId="01F63D30" w14:textId="1957F3DD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$ </w:t>
            </w:r>
          </w:p>
        </w:tc>
      </w:tr>
      <w:tr w:rsidR="007C0625" w:rsidRPr="00957BBE" w14:paraId="3ED24725" w14:textId="5E960F43" w:rsidTr="007C0625">
        <w:trPr>
          <w:trHeight w:val="888"/>
        </w:trPr>
        <w:tc>
          <w:tcPr>
            <w:tcW w:w="2012" w:type="dxa"/>
            <w:shd w:val="clear" w:color="auto" w:fill="auto"/>
            <w:noWrap/>
          </w:tcPr>
          <w:p w14:paraId="1C54D3A4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Total Salary Increase</w:t>
            </w:r>
          </w:p>
        </w:tc>
        <w:tc>
          <w:tcPr>
            <w:tcW w:w="2446" w:type="dxa"/>
            <w:shd w:val="clear" w:color="auto" w:fill="auto"/>
            <w:noWrap/>
          </w:tcPr>
          <w:p w14:paraId="4E7B3E9D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6" w:type="dxa"/>
            <w:shd w:val="clear" w:color="auto" w:fill="auto"/>
            <w:noWrap/>
          </w:tcPr>
          <w:p w14:paraId="691DFF26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6" w:type="dxa"/>
          </w:tcPr>
          <w:p w14:paraId="3DD4595B" w14:textId="77777777" w:rsidR="007C0625" w:rsidRPr="00957BBE" w:rsidRDefault="007C0625" w:rsidP="007C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24003753" w14:textId="5E3318D6" w:rsidR="00957BBE" w:rsidRPr="008A1CBA" w:rsidRDefault="00957BBE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vertAlign w:val="superscript"/>
        </w:rPr>
      </w:pPr>
      <w:r w:rsidRPr="008A1CBA">
        <w:rPr>
          <w:rFonts w:eastAsia="Times New Roman" w:cstheme="minorHAnsi"/>
          <w:b/>
          <w:bCs/>
          <w:sz w:val="20"/>
          <w:szCs w:val="20"/>
        </w:rPr>
        <w:t xml:space="preserve">*(FY </w:t>
      </w:r>
      <w:r w:rsidR="003C37D9" w:rsidRPr="008A1CBA">
        <w:rPr>
          <w:rFonts w:eastAsia="Times New Roman" w:cstheme="minorHAnsi"/>
          <w:b/>
          <w:bCs/>
          <w:sz w:val="20"/>
          <w:szCs w:val="20"/>
        </w:rPr>
        <w:t>2025</w:t>
      </w:r>
      <w:r w:rsidRPr="008A1CBA">
        <w:rPr>
          <w:rFonts w:eastAsia="Times New Roman" w:cstheme="minorHAnsi"/>
          <w:b/>
          <w:bCs/>
          <w:sz w:val="20"/>
          <w:szCs w:val="20"/>
        </w:rPr>
        <w:t xml:space="preserve"> CEC Appropriation) + (Ongoing Salary Savings) = (Cost to Implement). </w:t>
      </w:r>
      <w:r w:rsidR="007C0625" w:rsidRPr="008A1CBA">
        <w:rPr>
          <w:rFonts w:eastAsia="Times New Roman" w:cstheme="minorHAnsi"/>
          <w:b/>
          <w:bCs/>
          <w:sz w:val="20"/>
          <w:szCs w:val="20"/>
        </w:rPr>
        <w:br/>
      </w:r>
      <w:r w:rsidRPr="008A1CBA">
        <w:rPr>
          <w:rFonts w:eastAsia="Times New Roman" w:cstheme="minorHAnsi"/>
          <w:b/>
          <w:bCs/>
          <w:sz w:val="20"/>
          <w:szCs w:val="20"/>
        </w:rPr>
        <w:t xml:space="preserve">The purpose of this chart is to show if new funding, ongoing savings, or a combination of both is being used to fund each component of the plan.  CEC Plan components can be updated to reflect agency plan. </w:t>
      </w:r>
    </w:p>
    <w:p w14:paraId="29327F21" w14:textId="3BFE5EDF" w:rsidR="00957BBE" w:rsidRPr="008A1CBA" w:rsidRDefault="007C0625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A1CBA">
        <w:rPr>
          <w:rFonts w:eastAsia="Times New Roman" w:cstheme="minorHAnsi"/>
          <w:b/>
          <w:bCs/>
          <w:sz w:val="20"/>
          <w:szCs w:val="20"/>
          <w:vertAlign w:val="superscript"/>
        </w:rPr>
        <w:t>1</w:t>
      </w:r>
      <w:r w:rsidR="00957BBE" w:rsidRPr="008A1CBA">
        <w:rPr>
          <w:rFonts w:eastAsia="Times New Roman" w:cstheme="minorHAnsi"/>
          <w:sz w:val="20"/>
          <w:szCs w:val="20"/>
        </w:rPr>
        <w:t xml:space="preserve">This is the amount of the CEC appropriation you are using for each component. </w:t>
      </w:r>
    </w:p>
    <w:p w14:paraId="1143E012" w14:textId="32571009" w:rsidR="00957BBE" w:rsidRPr="008A1CBA" w:rsidRDefault="007C0625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A1CBA">
        <w:rPr>
          <w:rFonts w:eastAsia="Times New Roman" w:cstheme="minorHAnsi"/>
          <w:b/>
          <w:bCs/>
          <w:sz w:val="20"/>
          <w:szCs w:val="20"/>
          <w:vertAlign w:val="superscript"/>
        </w:rPr>
        <w:t>2</w:t>
      </w:r>
      <w:r w:rsidR="00957BBE" w:rsidRPr="008A1CBA">
        <w:rPr>
          <w:rFonts w:eastAsia="Times New Roman" w:cstheme="minorHAnsi"/>
          <w:sz w:val="20"/>
          <w:szCs w:val="20"/>
        </w:rPr>
        <w:t xml:space="preserve">This column will be zero unless implementation exceeds new FY </w:t>
      </w:r>
      <w:r w:rsidR="003C37D9" w:rsidRPr="008A1CBA">
        <w:rPr>
          <w:rFonts w:eastAsia="Times New Roman" w:cstheme="minorHAnsi"/>
          <w:sz w:val="20"/>
          <w:szCs w:val="20"/>
        </w:rPr>
        <w:t>2025</w:t>
      </w:r>
      <w:r w:rsidR="00957BBE" w:rsidRPr="008A1CBA">
        <w:rPr>
          <w:rFonts w:eastAsia="Times New Roman" w:cstheme="minorHAnsi"/>
          <w:sz w:val="20"/>
          <w:szCs w:val="20"/>
        </w:rPr>
        <w:t xml:space="preserve"> appropriation.</w:t>
      </w:r>
    </w:p>
    <w:p w14:paraId="38C95870" w14:textId="4A70A7F1" w:rsidR="007C0625" w:rsidRPr="008A1CBA" w:rsidRDefault="007C0625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A1CBA">
        <w:rPr>
          <w:rFonts w:eastAsia="Times New Roman" w:cstheme="minorHAnsi"/>
          <w:b/>
          <w:bCs/>
          <w:sz w:val="20"/>
          <w:szCs w:val="20"/>
          <w:vertAlign w:val="superscript"/>
        </w:rPr>
        <w:t>3</w:t>
      </w:r>
      <w:r w:rsidRPr="008A1CBA">
        <w:rPr>
          <w:rFonts w:eastAsia="Times New Roman" w:cstheme="minorHAnsi"/>
          <w:sz w:val="20"/>
          <w:szCs w:val="20"/>
        </w:rPr>
        <w:t xml:space="preserve">Total fully burdened annual cost (salary and variable benefits) to implement increases for each element of the plan and include all eligible employees – including estimates of those who will be implemented in the future. </w:t>
      </w:r>
    </w:p>
    <w:p w14:paraId="73F7C629" w14:textId="1B64111C" w:rsidR="004800AA" w:rsidRDefault="004800A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2FE57DDA" w14:textId="3B8BB9FD" w:rsidR="00856FE5" w:rsidRDefault="00856FE5" w:rsidP="008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Funding</w:t>
      </w:r>
    </w:p>
    <w:p w14:paraId="03A610CC" w14:textId="77777777" w:rsidR="00856FE5" w:rsidRDefault="00856FE5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980F3" w14:textId="1219D250" w:rsidR="00957BBE" w:rsidRPr="00957BBE" w:rsidRDefault="00957BBE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7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Estimated </w:t>
      </w:r>
      <w:r w:rsidRPr="00957B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FY </w:t>
      </w:r>
      <w:r w:rsidR="003C3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2025</w:t>
      </w:r>
      <w:r w:rsidRPr="00957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Personnel Budget after CEC by Fund </w:t>
      </w:r>
    </w:p>
    <w:p w14:paraId="4044BA27" w14:textId="77777777" w:rsidR="00957BBE" w:rsidRPr="00957BBE" w:rsidRDefault="00957BBE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7BBE">
        <w:rPr>
          <w:rFonts w:ascii="Times New Roman" w:eastAsia="Times New Roman" w:hAnsi="Times New Roman" w:cs="Times New Roman"/>
          <w:b/>
          <w:bCs/>
          <w:sz w:val="20"/>
          <w:szCs w:val="20"/>
        </w:rPr>
        <w:t>(Insert additional rows as needed)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907"/>
        <w:gridCol w:w="2329"/>
        <w:gridCol w:w="1697"/>
        <w:gridCol w:w="1725"/>
        <w:gridCol w:w="1463"/>
      </w:tblGrid>
      <w:tr w:rsidR="00957BBE" w:rsidRPr="00957BBE" w14:paraId="35F4AF18" w14:textId="77777777" w:rsidTr="002E7912">
        <w:trPr>
          <w:trHeight w:val="641"/>
        </w:trPr>
        <w:tc>
          <w:tcPr>
            <w:tcW w:w="1694" w:type="dxa"/>
            <w:shd w:val="clear" w:color="auto" w:fill="auto"/>
          </w:tcPr>
          <w:p w14:paraId="27A635C6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 Number</w:t>
            </w:r>
          </w:p>
        </w:tc>
        <w:tc>
          <w:tcPr>
            <w:tcW w:w="907" w:type="dxa"/>
            <w:shd w:val="clear" w:color="auto" w:fill="auto"/>
          </w:tcPr>
          <w:p w14:paraId="2E69AAF9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 Type</w:t>
            </w: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14:paraId="26D0D538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Est. PC Exp.</w:t>
            </w: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97" w:type="dxa"/>
            <w:shd w:val="clear" w:color="auto" w:fill="auto"/>
          </w:tcPr>
          <w:p w14:paraId="3490991D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PC </w:t>
            </w:r>
            <w:proofErr w:type="spellStart"/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Approp</w:t>
            </w:r>
            <w:proofErr w:type="spellEnd"/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5" w:type="dxa"/>
            <w:shd w:val="clear" w:color="auto" w:fill="auto"/>
          </w:tcPr>
          <w:p w14:paraId="2A4ECA39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Est. </w:t>
            </w:r>
            <w:proofErr w:type="spellStart"/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Approp</w:t>
            </w:r>
            <w:proofErr w:type="spellEnd"/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Balance (Ongoing Savings)</w:t>
            </w:r>
          </w:p>
        </w:tc>
        <w:tc>
          <w:tcPr>
            <w:tcW w:w="1463" w:type="dxa"/>
            <w:shd w:val="clear" w:color="auto" w:fill="auto"/>
          </w:tcPr>
          <w:p w14:paraId="2BB0BAA2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Est. Cash Balance (DED Funds Only)</w:t>
            </w:r>
          </w:p>
        </w:tc>
      </w:tr>
      <w:tr w:rsidR="00957BBE" w:rsidRPr="00957BBE" w14:paraId="68B7089D" w14:textId="77777777" w:rsidTr="002E7912">
        <w:trPr>
          <w:trHeight w:val="641"/>
        </w:trPr>
        <w:tc>
          <w:tcPr>
            <w:tcW w:w="1694" w:type="dxa"/>
            <w:shd w:val="clear" w:color="auto" w:fill="auto"/>
          </w:tcPr>
          <w:p w14:paraId="06EE082F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74BCAC17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522F754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2977067E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5640D35C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FF9441F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BBE" w:rsidRPr="00957BBE" w14:paraId="71046523" w14:textId="77777777" w:rsidTr="002E7912">
        <w:trPr>
          <w:trHeight w:val="641"/>
        </w:trPr>
        <w:tc>
          <w:tcPr>
            <w:tcW w:w="1694" w:type="dxa"/>
            <w:shd w:val="clear" w:color="auto" w:fill="auto"/>
          </w:tcPr>
          <w:p w14:paraId="50D26772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32D75648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A15E825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05777AB5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53AB2C1F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8C88E35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BBE" w:rsidRPr="00957BBE" w14:paraId="392F665F" w14:textId="77777777" w:rsidTr="002E7912">
        <w:trPr>
          <w:trHeight w:val="641"/>
        </w:trPr>
        <w:tc>
          <w:tcPr>
            <w:tcW w:w="1694" w:type="dxa"/>
            <w:shd w:val="clear" w:color="auto" w:fill="auto"/>
          </w:tcPr>
          <w:p w14:paraId="50A8E068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79B5D6CF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FFECC05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7CE5A95D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119F54EA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8895FDD" w14:textId="77777777" w:rsidR="00957BBE" w:rsidRPr="00957BBE" w:rsidRDefault="00957BBE" w:rsidP="00957BBE">
            <w:pPr>
              <w:tabs>
                <w:tab w:val="center" w:pos="1080"/>
                <w:tab w:val="left" w:pos="8776"/>
                <w:tab w:val="center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77101E" w14:textId="77777777" w:rsidR="00957BBE" w:rsidRPr="008A1CBA" w:rsidRDefault="00957BBE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A1CBA">
        <w:rPr>
          <w:rFonts w:eastAsia="Times New Roman" w:cstheme="minorHAnsi"/>
          <w:sz w:val="20"/>
          <w:szCs w:val="20"/>
          <w:vertAlign w:val="superscript"/>
        </w:rPr>
        <w:t>4</w:t>
      </w:r>
      <w:r w:rsidRPr="008A1CBA">
        <w:rPr>
          <w:rFonts w:eastAsia="Times New Roman" w:cstheme="minorHAnsi"/>
          <w:sz w:val="20"/>
          <w:szCs w:val="20"/>
        </w:rPr>
        <w:t>Enter GEN, DED, FED.</w:t>
      </w:r>
    </w:p>
    <w:p w14:paraId="74B24548" w14:textId="11C4EACE" w:rsidR="00957BBE" w:rsidRPr="008A1CBA" w:rsidRDefault="00957BBE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8A1CBA">
        <w:rPr>
          <w:rFonts w:eastAsia="Times New Roman" w:cstheme="minorHAnsi"/>
          <w:b/>
          <w:bCs/>
          <w:sz w:val="20"/>
          <w:szCs w:val="20"/>
          <w:vertAlign w:val="superscript"/>
        </w:rPr>
        <w:t>5</w:t>
      </w:r>
      <w:r w:rsidRPr="008A1CBA">
        <w:rPr>
          <w:rFonts w:eastAsia="Times New Roman" w:cstheme="minorHAnsi"/>
          <w:sz w:val="20"/>
          <w:szCs w:val="20"/>
        </w:rPr>
        <w:t>This is the fully burdened (salary</w:t>
      </w:r>
      <w:r w:rsidR="00233617">
        <w:rPr>
          <w:rFonts w:eastAsia="Times New Roman" w:cstheme="minorHAnsi"/>
          <w:sz w:val="20"/>
          <w:szCs w:val="20"/>
        </w:rPr>
        <w:t>, health</w:t>
      </w:r>
      <w:r w:rsidRPr="008A1CBA">
        <w:rPr>
          <w:rFonts w:eastAsia="Times New Roman" w:cstheme="minorHAnsi"/>
          <w:sz w:val="20"/>
          <w:szCs w:val="20"/>
        </w:rPr>
        <w:t xml:space="preserve"> benefits</w:t>
      </w:r>
      <w:r w:rsidR="00233617">
        <w:rPr>
          <w:rFonts w:eastAsia="Times New Roman" w:cstheme="minorHAnsi"/>
          <w:sz w:val="20"/>
          <w:szCs w:val="20"/>
        </w:rPr>
        <w:t>, and variable benefits</w:t>
      </w:r>
      <w:r w:rsidRPr="008A1CBA">
        <w:rPr>
          <w:rFonts w:eastAsia="Times New Roman" w:cstheme="minorHAnsi"/>
          <w:sz w:val="20"/>
          <w:szCs w:val="20"/>
        </w:rPr>
        <w:t xml:space="preserve">) annual personnel expenditure estimate, assuming all intended positions are filled for the entire year, all components of CEC are implemented, and including any amounts anticipated for group positions. </w:t>
      </w:r>
    </w:p>
    <w:p w14:paraId="7618DB0E" w14:textId="77777777" w:rsidR="00957BBE" w:rsidRPr="00957BBE" w:rsidRDefault="00957BBE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98AAB0" w14:textId="77777777" w:rsidR="00957BBE" w:rsidRPr="00957BBE" w:rsidRDefault="00957BBE" w:rsidP="00957BBE">
      <w:pPr>
        <w:tabs>
          <w:tab w:val="center" w:pos="1080"/>
          <w:tab w:val="left" w:pos="8776"/>
          <w:tab w:val="center" w:pos="9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F744F" w14:textId="77777777" w:rsidR="0083160B" w:rsidRDefault="0083160B" w:rsidP="00484C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3160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A255" w14:textId="77777777" w:rsidR="0018038D" w:rsidRDefault="0018038D" w:rsidP="00CC5E1F">
      <w:pPr>
        <w:spacing w:after="0" w:line="240" w:lineRule="auto"/>
      </w:pPr>
      <w:r>
        <w:separator/>
      </w:r>
    </w:p>
  </w:endnote>
  <w:endnote w:type="continuationSeparator" w:id="0">
    <w:p w14:paraId="437A5E16" w14:textId="77777777" w:rsidR="0018038D" w:rsidRDefault="0018038D" w:rsidP="00CC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5642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EC3B57" w14:textId="06E921AB" w:rsidR="00CF4532" w:rsidRDefault="00CF45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[AGENCY] FY 2025 CEC Plan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188966" w14:textId="77777777" w:rsidR="00CC5E1F" w:rsidRDefault="00CC5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7C1C" w14:textId="77777777" w:rsidR="0018038D" w:rsidRDefault="0018038D" w:rsidP="00CC5E1F">
      <w:pPr>
        <w:spacing w:after="0" w:line="240" w:lineRule="auto"/>
      </w:pPr>
      <w:r>
        <w:separator/>
      </w:r>
    </w:p>
  </w:footnote>
  <w:footnote w:type="continuationSeparator" w:id="0">
    <w:p w14:paraId="2F1DC2B6" w14:textId="77777777" w:rsidR="0018038D" w:rsidRDefault="0018038D" w:rsidP="00CC5E1F">
      <w:pPr>
        <w:spacing w:after="0" w:line="240" w:lineRule="auto"/>
      </w:pPr>
      <w:r>
        <w:continuationSeparator/>
      </w:r>
    </w:p>
  </w:footnote>
  <w:footnote w:id="1">
    <w:p w14:paraId="4272A3C5" w14:textId="747063CE" w:rsidR="007B3407" w:rsidRPr="007B3407" w:rsidRDefault="007B3407" w:rsidP="007B3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7B3407">
        <w:rPr>
          <w:rFonts w:cstheme="minorHAnsi"/>
          <w:sz w:val="20"/>
          <w:szCs w:val="20"/>
        </w:rPr>
        <w:t>This should equal the Agency FY24 FTP Appropriation plus temporary staff included if applicable – minus the number of vacancies.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6FE6" w14:textId="72A2DE81" w:rsidR="00CC5E1F" w:rsidRDefault="00CC5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F75E" w14:textId="6D3EF0A6" w:rsidR="00CC5E1F" w:rsidRDefault="00CC5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0EE7" w14:textId="40FADAA6" w:rsidR="00CC5E1F" w:rsidRDefault="00CC5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716F7"/>
    <w:multiLevelType w:val="hybridMultilevel"/>
    <w:tmpl w:val="2B94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223F"/>
    <w:multiLevelType w:val="hybridMultilevel"/>
    <w:tmpl w:val="EDC89D9C"/>
    <w:lvl w:ilvl="0" w:tplc="BBD208C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BAF2FEF"/>
    <w:multiLevelType w:val="hybridMultilevel"/>
    <w:tmpl w:val="5EC87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343266">
    <w:abstractNumId w:val="2"/>
  </w:num>
  <w:num w:numId="2" w16cid:durableId="280189312">
    <w:abstractNumId w:val="1"/>
  </w:num>
  <w:num w:numId="3" w16cid:durableId="71933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0C"/>
    <w:rsid w:val="00041644"/>
    <w:rsid w:val="00051968"/>
    <w:rsid w:val="00074003"/>
    <w:rsid w:val="00094C0C"/>
    <w:rsid w:val="000E7CE8"/>
    <w:rsid w:val="0011208C"/>
    <w:rsid w:val="0018038D"/>
    <w:rsid w:val="001F1168"/>
    <w:rsid w:val="002135F9"/>
    <w:rsid w:val="00233617"/>
    <w:rsid w:val="002C0B7D"/>
    <w:rsid w:val="00302DAE"/>
    <w:rsid w:val="00341854"/>
    <w:rsid w:val="00366F3A"/>
    <w:rsid w:val="00375C2D"/>
    <w:rsid w:val="003B432F"/>
    <w:rsid w:val="003C37D9"/>
    <w:rsid w:val="0042451D"/>
    <w:rsid w:val="004251C6"/>
    <w:rsid w:val="0045585D"/>
    <w:rsid w:val="00470794"/>
    <w:rsid w:val="004800AA"/>
    <w:rsid w:val="00484C0C"/>
    <w:rsid w:val="004C6FDD"/>
    <w:rsid w:val="00511843"/>
    <w:rsid w:val="005A020F"/>
    <w:rsid w:val="00643AF4"/>
    <w:rsid w:val="00663D7A"/>
    <w:rsid w:val="006A1BFC"/>
    <w:rsid w:val="006B0091"/>
    <w:rsid w:val="006E2223"/>
    <w:rsid w:val="006E7934"/>
    <w:rsid w:val="007369E6"/>
    <w:rsid w:val="00772B96"/>
    <w:rsid w:val="007B3407"/>
    <w:rsid w:val="007B7603"/>
    <w:rsid w:val="007C0625"/>
    <w:rsid w:val="007F32B7"/>
    <w:rsid w:val="0081135E"/>
    <w:rsid w:val="0083160B"/>
    <w:rsid w:val="00856FE5"/>
    <w:rsid w:val="0089375A"/>
    <w:rsid w:val="008A1CBA"/>
    <w:rsid w:val="008A3FC6"/>
    <w:rsid w:val="008A67F7"/>
    <w:rsid w:val="00957BBE"/>
    <w:rsid w:val="009B527C"/>
    <w:rsid w:val="009E53F2"/>
    <w:rsid w:val="00A53460"/>
    <w:rsid w:val="00A6240D"/>
    <w:rsid w:val="00A628A6"/>
    <w:rsid w:val="00AE68FE"/>
    <w:rsid w:val="00AF7CEE"/>
    <w:rsid w:val="00B021E5"/>
    <w:rsid w:val="00BE39B7"/>
    <w:rsid w:val="00C1144A"/>
    <w:rsid w:val="00CC3058"/>
    <w:rsid w:val="00CC5E1F"/>
    <w:rsid w:val="00CF4532"/>
    <w:rsid w:val="00D755B3"/>
    <w:rsid w:val="00E02F6E"/>
    <w:rsid w:val="00E427AD"/>
    <w:rsid w:val="00E4304F"/>
    <w:rsid w:val="00E7578C"/>
    <w:rsid w:val="00EE3620"/>
    <w:rsid w:val="00F25CAA"/>
    <w:rsid w:val="00F306B8"/>
    <w:rsid w:val="00F44BDE"/>
    <w:rsid w:val="00F8425C"/>
    <w:rsid w:val="00F87F50"/>
    <w:rsid w:val="00FD35F6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60192"/>
  <w15:chartTrackingRefBased/>
  <w15:docId w15:val="{CFD19B79-206E-4CC5-B843-3FDD0745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C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E1F"/>
  </w:style>
  <w:style w:type="paragraph" w:styleId="Footer">
    <w:name w:val="footer"/>
    <w:basedOn w:val="Normal"/>
    <w:link w:val="FooterChar"/>
    <w:uiPriority w:val="99"/>
    <w:unhideWhenUsed/>
    <w:rsid w:val="00CC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1F"/>
  </w:style>
  <w:style w:type="character" w:styleId="FollowedHyperlink">
    <w:name w:val="FollowedHyperlink"/>
    <w:basedOn w:val="DefaultParagraphFont"/>
    <w:uiPriority w:val="99"/>
    <w:semiHidden/>
    <w:unhideWhenUsed/>
    <w:rsid w:val="00772B9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5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18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8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7C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3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345B-9343-4513-AA2F-1400688E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White</dc:creator>
  <cp:keywords/>
  <dc:description/>
  <cp:lastModifiedBy>Michelle Peugh</cp:lastModifiedBy>
  <cp:revision>4</cp:revision>
  <cp:lastPrinted>2023-03-15T15:57:00Z</cp:lastPrinted>
  <dcterms:created xsi:type="dcterms:W3CDTF">2024-03-28T23:25:00Z</dcterms:created>
  <dcterms:modified xsi:type="dcterms:W3CDTF">2024-04-10T19:39:00Z</dcterms:modified>
</cp:coreProperties>
</file>